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D87C4" w14:textId="53E0E886" w:rsidR="00D34EA4" w:rsidRDefault="00DD785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752B9" wp14:editId="57EA8241">
                <wp:simplePos x="0" y="0"/>
                <wp:positionH relativeFrom="page">
                  <wp:posOffset>452755</wp:posOffset>
                </wp:positionH>
                <wp:positionV relativeFrom="page">
                  <wp:posOffset>6687820</wp:posOffset>
                </wp:positionV>
                <wp:extent cx="6847205" cy="681355"/>
                <wp:effectExtent l="0" t="0" r="10795" b="4445"/>
                <wp:wrapThrough wrapText="bothSides">
                  <wp:wrapPolygon edited="0">
                    <wp:start x="0" y="0"/>
                    <wp:lineTo x="0" y="20936"/>
                    <wp:lineTo x="21554" y="20936"/>
                    <wp:lineTo x="2155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68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DB1AC" w14:textId="210C4B08" w:rsidR="00A535C1" w:rsidRPr="00CF7764" w:rsidRDefault="00A535C1" w:rsidP="00DD7853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F7764"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>discuss the G</w:t>
                            </w:r>
                            <w:r w:rsidRPr="00CF7764"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>uidance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or potential comments, please email </w:t>
                            </w:r>
                            <w:hyperlink r:id="rId6" w:history="1">
                              <w:r w:rsidRPr="002326D7">
                                <w:rPr>
                                  <w:rStyle w:val="Hyperlink"/>
                                  <w:rFonts w:ascii="Helvetica" w:hAnsi="Helvetica"/>
                                  <w:color w:val="008000"/>
                                  <w:sz w:val="22"/>
                                  <w:szCs w:val="22"/>
                                </w:rPr>
                                <w:t>Tracey Rembert</w:t>
                              </w:r>
                            </w:hyperlink>
                            <w:r w:rsidRPr="00CF7764"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>or call +1(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>617)</w:t>
                            </w:r>
                            <w:r w:rsidRPr="00CF7764"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>247</w:t>
                            </w:r>
                            <w:proofErr w:type="gramEnd"/>
                            <w:r w:rsidRPr="00CF7764"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-0700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x</w:t>
                            </w:r>
                            <w:r w:rsidRPr="00CF7764"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106 or </w:t>
                            </w:r>
                            <w:hyperlink r:id="rId7" w:history="1">
                              <w:r w:rsidRPr="002326D7">
                                <w:rPr>
                                  <w:rStyle w:val="Hyperlink"/>
                                  <w:rFonts w:ascii="Helvetica" w:hAnsi="Helvetica"/>
                                  <w:color w:val="008000"/>
                                  <w:sz w:val="22"/>
                                  <w:szCs w:val="22"/>
                                </w:rPr>
                                <w:t>Robert Schwarz</w:t>
                              </w:r>
                            </w:hyperlink>
                            <w:r w:rsidRPr="00CF7764"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>at +1(617)247-0700  x</w:t>
                            </w:r>
                            <w:r w:rsidRPr="00CF7764">
                              <w:rPr>
                                <w:rFonts w:ascii="Helvetica" w:hAnsi="Helvetica"/>
                                <w:color w:val="FFFFFF" w:themeColor="background1"/>
                                <w:sz w:val="22"/>
                                <w:szCs w:val="22"/>
                              </w:rPr>
                              <w:t>161.</w:t>
                            </w:r>
                          </w:p>
                          <w:p w14:paraId="2E05C6E3" w14:textId="77777777" w:rsidR="00A535C1" w:rsidRPr="00CF7764" w:rsidRDefault="00A535C1" w:rsidP="00DD5421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.65pt;margin-top:526.6pt;width:539.1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" fillcolor="#fa8716 [3206]" stroked="f" strokeweight="2pt">
                <v:textbox>
                  <w:txbxContent>
                    <w:p w14:paraId="022DB1AC" w14:textId="210C4B08" w:rsidR="00A535C1" w:rsidRPr="00CF7764" w:rsidRDefault="00A535C1" w:rsidP="00DD7853">
                      <w:pPr>
                        <w:spacing w:line="360" w:lineRule="auto"/>
                        <w:jc w:val="center"/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F7764"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 xml:space="preserve">To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>discuss the G</w:t>
                      </w:r>
                      <w:r w:rsidRPr="00CF7764"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>uidance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 xml:space="preserve"> or potential comments, please email </w:t>
                      </w:r>
                      <w:hyperlink r:id="rId8" w:history="1">
                        <w:r w:rsidRPr="002326D7">
                          <w:rPr>
                            <w:rStyle w:val="Hyperlink"/>
                            <w:rFonts w:ascii="Helvetica" w:hAnsi="Helvetica"/>
                            <w:color w:val="008000"/>
                            <w:sz w:val="22"/>
                            <w:szCs w:val="22"/>
                          </w:rPr>
                          <w:t>Tracey Rembert</w:t>
                        </w:r>
                      </w:hyperlink>
                      <w:r w:rsidRPr="00CF7764"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>or call +1(</w:t>
                      </w:r>
                      <w:proofErr w:type="gramStart"/>
                      <w:r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>617)</w:t>
                      </w:r>
                      <w:r w:rsidRPr="00CF7764"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>247</w:t>
                      </w:r>
                      <w:proofErr w:type="gramEnd"/>
                      <w:r w:rsidRPr="00CF7764"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 xml:space="preserve">-0700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 xml:space="preserve"> x</w:t>
                      </w:r>
                      <w:r w:rsidRPr="00CF7764"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 xml:space="preserve">106 or </w:t>
                      </w:r>
                      <w:hyperlink r:id="rId9" w:history="1">
                        <w:r w:rsidRPr="002326D7">
                          <w:rPr>
                            <w:rStyle w:val="Hyperlink"/>
                            <w:rFonts w:ascii="Helvetica" w:hAnsi="Helvetica"/>
                            <w:color w:val="008000"/>
                            <w:sz w:val="22"/>
                            <w:szCs w:val="22"/>
                          </w:rPr>
                          <w:t>Robert Schwarz</w:t>
                        </w:r>
                      </w:hyperlink>
                      <w:r w:rsidRPr="00CF7764"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>at +1(617)247-0700  x</w:t>
                      </w:r>
                      <w:r w:rsidRPr="00CF7764">
                        <w:rPr>
                          <w:rFonts w:ascii="Helvetica" w:hAnsi="Helvetica"/>
                          <w:color w:val="FFFFFF" w:themeColor="background1"/>
                          <w:sz w:val="22"/>
                          <w:szCs w:val="22"/>
                        </w:rPr>
                        <w:t>161.</w:t>
                      </w:r>
                    </w:p>
                    <w:p w14:paraId="2E05C6E3" w14:textId="77777777" w:rsidR="00A535C1" w:rsidRPr="00CF7764" w:rsidRDefault="00A535C1" w:rsidP="00DD5421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F6ECB" w:rsidRPr="00D401F9">
        <w:rPr>
          <w:rFonts w:ascii="Helvetica" w:hAnsi="Helvetica"/>
          <w:b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08917E64" wp14:editId="71CDE5C0">
            <wp:simplePos x="0" y="0"/>
            <wp:positionH relativeFrom="page">
              <wp:posOffset>467995</wp:posOffset>
            </wp:positionH>
            <wp:positionV relativeFrom="page">
              <wp:posOffset>7509510</wp:posOffset>
            </wp:positionV>
            <wp:extent cx="6851015" cy="781050"/>
            <wp:effectExtent l="0" t="0" r="6985" b="6350"/>
            <wp:wrapTight wrapText="bothSides">
              <wp:wrapPolygon edited="0">
                <wp:start x="8569" y="0"/>
                <wp:lineTo x="0" y="0"/>
                <wp:lineTo x="0" y="21073"/>
                <wp:lineTo x="21542" y="21073"/>
                <wp:lineTo x="21542" y="0"/>
                <wp:lineTo x="8569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3C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1D0D86" wp14:editId="7645340B">
                <wp:simplePos x="0" y="0"/>
                <wp:positionH relativeFrom="page">
                  <wp:posOffset>2722245</wp:posOffset>
                </wp:positionH>
                <wp:positionV relativeFrom="page">
                  <wp:posOffset>5760720</wp:posOffset>
                </wp:positionV>
                <wp:extent cx="2463800" cy="562610"/>
                <wp:effectExtent l="0" t="0" r="0" b="0"/>
                <wp:wrapThrough wrapText="bothSides">
                  <wp:wrapPolygon edited="0">
                    <wp:start x="0" y="0"/>
                    <wp:lineTo x="0" y="20479"/>
                    <wp:lineTo x="21377" y="20479"/>
                    <wp:lineTo x="21377" y="0"/>
                    <wp:lineTo x="0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562610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F247A" w14:textId="2840A8B1" w:rsidR="00A535C1" w:rsidRPr="007F6ECB" w:rsidRDefault="00A535C1" w:rsidP="009413C7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  <w:hyperlink r:id="rId11" w:history="1">
                              <w:r w:rsidRPr="007F6ECB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color w:val="F2F2F2" w:themeColor="background1" w:themeShade="F2"/>
                                  <w:sz w:val="56"/>
                                  <w:szCs w:val="56"/>
                                </w:rPr>
                                <w:t>Register</w:t>
                              </w:r>
                            </w:hyperlink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214.35pt;margin-top:453.6pt;width:194pt;height:44.3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" fillcolor="green" stroked="f">
                <v:textbox>
                  <w:txbxContent>
                    <w:p w14:paraId="71AF247A" w14:textId="2840A8B1" w:rsidR="00A535C1" w:rsidRPr="007F6ECB" w:rsidRDefault="00A535C1" w:rsidP="009413C7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  <w:hyperlink r:id="rId12" w:history="1">
                        <w:r w:rsidRPr="007F6ECB">
                          <w:rPr>
                            <w:rStyle w:val="Hyperlink"/>
                            <w:rFonts w:ascii="Helvetica" w:hAnsi="Helvetica"/>
                            <w:b/>
                            <w:bCs/>
                            <w:color w:val="F2F2F2" w:themeColor="background1" w:themeShade="F2"/>
                            <w:sz w:val="56"/>
                            <w:szCs w:val="56"/>
                          </w:rPr>
                          <w:t>Register</w:t>
                        </w:r>
                      </w:hyperlink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9413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E093D" wp14:editId="216BEE2C">
                <wp:simplePos x="0" y="0"/>
                <wp:positionH relativeFrom="page">
                  <wp:posOffset>477519</wp:posOffset>
                </wp:positionH>
                <wp:positionV relativeFrom="page">
                  <wp:posOffset>2090419</wp:posOffset>
                </wp:positionV>
                <wp:extent cx="6833235" cy="4598247"/>
                <wp:effectExtent l="0" t="0" r="0" b="0"/>
                <wp:wrapThrough wrapText="bothSides">
                  <wp:wrapPolygon edited="0">
                    <wp:start x="0" y="0"/>
                    <wp:lineTo x="0" y="21478"/>
                    <wp:lineTo x="21518" y="21478"/>
                    <wp:lineTo x="21518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235" cy="45982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6BEFB" w14:textId="6FA7254E" w:rsidR="00A535C1" w:rsidRPr="00512753" w:rsidRDefault="00A535C1" w:rsidP="002326D7">
                            <w:pPr>
                              <w:jc w:val="both"/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By issuing ESG reporting guidance to its 68 member exchanges (including </w:t>
                            </w:r>
                            <w:r w:rsidRPr="006062DC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33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 ESG key performance indicators </w:t>
                            </w:r>
                            <w:r w:rsidRPr="006062DC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and 46 recommendations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 for exchanges and companies to enhance reporting), the World Federation of Exchanges (WFE) has recently taken a </w:t>
                            </w:r>
                            <w:r w:rsidRPr="00512753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critical step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 towards supplying investors with more comparable ESG data.</w:t>
                            </w:r>
                          </w:p>
                          <w:p w14:paraId="3FC96A71" w14:textId="77777777" w:rsidR="00A535C1" w:rsidRDefault="00A535C1" w:rsidP="002326D7">
                            <w:pPr>
                              <w:jc w:val="both"/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988FB3" w14:textId="76EABD60" w:rsidR="00A535C1" w:rsidRDefault="00A535C1" w:rsidP="002326D7">
                            <w:pPr>
                              <w:jc w:val="both"/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Although t</w:t>
                            </w:r>
                            <w:r w:rsidRPr="006062DC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here </w:t>
                            </w:r>
                            <w:r w:rsidR="00DD7853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are many positive aspects to this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 guidance, the indicator</w:t>
                            </w:r>
                            <w:r w:rsidRPr="006062DC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 and recommendations may benefit from investor feedback on how to improve their usefulness in the investment decision-making process</w:t>
                            </w:r>
                            <w:r w:rsidRPr="006062DC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2753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With this in mind, 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Ceres ha</w:t>
                            </w:r>
                            <w:r w:rsidRPr="006062DC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launched a comment period to gather that feedback.</w:t>
                            </w:r>
                          </w:p>
                          <w:p w14:paraId="4626940E" w14:textId="77777777" w:rsidR="00A535C1" w:rsidRDefault="00A535C1" w:rsidP="002326D7">
                            <w:pPr>
                              <w:jc w:val="both"/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A740D3" w14:textId="77777777" w:rsidR="00DD7853" w:rsidRDefault="00A535C1" w:rsidP="002326D7">
                            <w:pPr>
                              <w:jc w:val="both"/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To support investors in submitting their comments, Ceres is hosting a webinar that will review the development of the guidance, and what kinds of feedback would be most helpful for the WFE moving its guidance forward. </w:t>
                            </w:r>
                          </w:p>
                          <w:p w14:paraId="21920F03" w14:textId="77777777" w:rsidR="00DD7853" w:rsidRDefault="00DD7853" w:rsidP="002326D7">
                            <w:pPr>
                              <w:jc w:val="both"/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CDAA6F" w14:textId="1A6EA3E4" w:rsidR="00A535C1" w:rsidRDefault="00A535C1" w:rsidP="002326D7">
                            <w:pPr>
                              <w:jc w:val="both"/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Speakers include:</w:t>
                            </w:r>
                          </w:p>
                          <w:p w14:paraId="0D102717" w14:textId="2D8ECE6A" w:rsidR="00A535C1" w:rsidRDefault="00A535C1" w:rsidP="002326D7">
                            <w:pPr>
                              <w:jc w:val="both"/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B84AC3" w14:textId="266FFAFF" w:rsidR="00A535C1" w:rsidRDefault="00A535C1" w:rsidP="002326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Evan Harvey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Nasdaq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 OMX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Corli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 le Roux of the Johannesburg Stock Exchange</w:t>
                            </w:r>
                            <w:r w:rsidR="00DD7853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, who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 will highlight the process for developing the WFE guidance, and goals for it</w:t>
                            </w:r>
                            <w:r w:rsidR="00DD7853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, and field questions from investors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56D757" w14:textId="03977658" w:rsidR="00A535C1" w:rsidRPr="00322D7B" w:rsidRDefault="00A535C1" w:rsidP="00322D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322D7B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8FDAB4" w14:textId="7E69C016" w:rsidR="00A535C1" w:rsidRPr="00154F0B" w:rsidRDefault="00DD7853" w:rsidP="002326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Tracey Rembert of </w:t>
                            </w:r>
                            <w:r w:rsidR="00A535C1" w:rsidRPr="00154F0B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Ceres</w:t>
                            </w:r>
                            <w:r w:rsidR="00A535C1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 will identify a few key areas where </w:t>
                            </w:r>
                            <w:r w:rsidR="00A535C1" w:rsidRPr="00154F0B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feedback will help </w:t>
                            </w:r>
                            <w:r w:rsidR="00A535C1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advance global ESG disclosure quality, describe the </w:t>
                            </w:r>
                            <w:r w:rsidR="00A535C1" w:rsidRPr="00154F0B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summary report to </w:t>
                            </w:r>
                            <w:r w:rsidR="00A535C1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be issued 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to t</w:t>
                            </w:r>
                            <w:r w:rsidR="00A535C1" w:rsidRPr="00154F0B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he WFE</w:t>
                            </w:r>
                            <w:r w:rsidR="00A535C1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 based on the consultation responses</w:t>
                            </w:r>
                            <w:r w:rsidR="00A535C1" w:rsidRPr="00154F0B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="00A535C1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a</w:t>
                            </w:r>
                            <w:r w:rsidR="00A535C1" w:rsidRPr="00154F0B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ns</w:t>
                            </w:r>
                            <w:r w:rsidR="00A535C1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wer questions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 related to the comment period</w:t>
                            </w:r>
                            <w:r w:rsidR="00A535C1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.</w:t>
                            </w:r>
                            <w:r w:rsidR="00A535C1" w:rsidRPr="00154F0B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C60AC6" w14:textId="77777777" w:rsidR="00A535C1" w:rsidRDefault="00A535C1" w:rsidP="002326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09979775" w14:textId="568A7CE5" w:rsidR="00A535C1" w:rsidRPr="00322D7B" w:rsidRDefault="00A535C1" w:rsidP="00322D7B">
                            <w:pPr>
                              <w:jc w:val="both"/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In order to make the most of the hour, please </w:t>
                            </w:r>
                            <w:r w:rsidR="00DD7853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review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 the WFE’s Gu</w:t>
                            </w:r>
                            <w:r w:rsidR="00DD7853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idance and Ceres’ comment form--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both of which are available in the red box to the right of this </w:t>
                            </w:r>
                            <w:hyperlink r:id="rId13" w:history="1">
                              <w:r w:rsidRPr="009413C7">
                                <w:rPr>
                                  <w:rStyle w:val="Hyperlink"/>
                                  <w:rFonts w:ascii="Helvetica" w:hAnsi="Helvetica"/>
                                  <w:color w:val="008000"/>
                                  <w:sz w:val="20"/>
                                  <w:szCs w:val="20"/>
                                </w:rPr>
                                <w:t>pa</w:t>
                              </w:r>
                              <w:r w:rsidRPr="009413C7">
                                <w:rPr>
                                  <w:rStyle w:val="Hyperlink"/>
                                  <w:rFonts w:ascii="Helvetica" w:hAnsi="Helvetica"/>
                                  <w:color w:val="008000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9413C7">
                                <w:rPr>
                                  <w:rStyle w:val="Hyperlink"/>
                                  <w:rFonts w:ascii="Helvetica" w:hAnsi="Helvetica"/>
                                  <w:color w:val="008000"/>
                                  <w:sz w:val="20"/>
                                  <w:szCs w:val="20"/>
                                </w:rPr>
                                <w:t>e</w:t>
                              </w:r>
                            </w:hyperlink>
                            <w:r w:rsidR="00DD7853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--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prior to attending the webinar. We look forward to your </w:t>
                            </w:r>
                            <w:r w:rsidR="00DD7853"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>questions and</w:t>
                            </w:r>
                            <w:r>
                              <w:rPr>
                                <w:rFonts w:ascii="Helvetica" w:hAnsi="Helvetica"/>
                                <w:bCs/>
                                <w:sz w:val="20"/>
                                <w:szCs w:val="20"/>
                              </w:rPr>
                              <w:t xml:space="preserve"> participation.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8" type="#_x0000_t202" style="position:absolute;margin-left:37.6pt;margin-top:164.6pt;width:538.05pt;height:362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" mv:complextextbox="1" fillcolor="#d8d8d8 [2732]" stroked="f">
                <v:textbox>
                  <w:txbxContent>
                    <w:p w14:paraId="2AB6BEFB" w14:textId="6FA7254E" w:rsidR="00A535C1" w:rsidRPr="00512753" w:rsidRDefault="00A535C1" w:rsidP="002326D7">
                      <w:pPr>
                        <w:jc w:val="both"/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By issuing ESG reporting guidance to its 68 member exchanges (including </w:t>
                      </w:r>
                      <w:r w:rsidRPr="006062DC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33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 ESG key performance indicators </w:t>
                      </w:r>
                      <w:r w:rsidRPr="006062DC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and 46 recommendations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 for exchanges and companies to enhance reporting), the World Federation of Exchanges (WFE) has recently taken a </w:t>
                      </w:r>
                      <w:r w:rsidRPr="00512753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critical step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 towards supplying investors with more comparable ESG data.</w:t>
                      </w:r>
                    </w:p>
                    <w:p w14:paraId="3FC96A71" w14:textId="77777777" w:rsidR="00A535C1" w:rsidRDefault="00A535C1" w:rsidP="002326D7">
                      <w:pPr>
                        <w:jc w:val="both"/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</w:pPr>
                    </w:p>
                    <w:p w14:paraId="3D988FB3" w14:textId="76EABD60" w:rsidR="00A535C1" w:rsidRDefault="00A535C1" w:rsidP="002326D7">
                      <w:pPr>
                        <w:jc w:val="both"/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Although t</w:t>
                      </w:r>
                      <w:r w:rsidRPr="006062DC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here </w:t>
                      </w:r>
                      <w:r w:rsidR="00DD7853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are many positive aspects to this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 guidance, the indicator</w:t>
                      </w:r>
                      <w:r w:rsidRPr="006062DC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 and recommendations may benefit from investor feedback on how to improve their usefulness in the investment decision-making process</w:t>
                      </w:r>
                      <w:r w:rsidRPr="006062DC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12753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With this in mind, 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Ceres ha</w:t>
                      </w:r>
                      <w:r w:rsidRPr="006062DC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launched a comment period to gather that feedback.</w:t>
                      </w:r>
                    </w:p>
                    <w:p w14:paraId="4626940E" w14:textId="77777777" w:rsidR="00A535C1" w:rsidRDefault="00A535C1" w:rsidP="002326D7">
                      <w:pPr>
                        <w:jc w:val="both"/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</w:pPr>
                    </w:p>
                    <w:p w14:paraId="3BA740D3" w14:textId="77777777" w:rsidR="00DD7853" w:rsidRDefault="00A535C1" w:rsidP="002326D7">
                      <w:pPr>
                        <w:jc w:val="both"/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To support investors in submitting their comments, Ceres is hosting a webinar that will review the development of the guidance, and what kinds of feedback would be most helpful for the WFE moving its guidance forward. </w:t>
                      </w:r>
                    </w:p>
                    <w:p w14:paraId="21920F03" w14:textId="77777777" w:rsidR="00DD7853" w:rsidRDefault="00DD7853" w:rsidP="002326D7">
                      <w:pPr>
                        <w:jc w:val="both"/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</w:pPr>
                    </w:p>
                    <w:p w14:paraId="20CDAA6F" w14:textId="1A6EA3E4" w:rsidR="00A535C1" w:rsidRDefault="00A535C1" w:rsidP="002326D7">
                      <w:pPr>
                        <w:jc w:val="both"/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Speakers include:</w:t>
                      </w:r>
                    </w:p>
                    <w:p w14:paraId="0D102717" w14:textId="2D8ECE6A" w:rsidR="00A535C1" w:rsidRDefault="00A535C1" w:rsidP="002326D7">
                      <w:pPr>
                        <w:jc w:val="both"/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B84AC3" w14:textId="266FFAFF" w:rsidR="00A535C1" w:rsidRDefault="00A535C1" w:rsidP="002326D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Evan Harvey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Nasdaq</w:t>
                      </w:r>
                      <w:proofErr w:type="spellEnd"/>
                      <w: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 OMX and </w:t>
                      </w:r>
                      <w:proofErr w:type="spellStart"/>
                      <w: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Corli</w:t>
                      </w:r>
                      <w:proofErr w:type="spellEnd"/>
                      <w: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 le Roux of the Johannesburg Stock Exchange</w:t>
                      </w:r>
                      <w:r w:rsidR="00DD7853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, who</w:t>
                      </w:r>
                      <w: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 will highlight the process for developing the WFE guidance, and goals for it</w:t>
                      </w:r>
                      <w:r w:rsidR="00DD7853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, and field questions from investors</w:t>
                      </w:r>
                      <w: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.</w:t>
                      </w:r>
                    </w:p>
                    <w:p w14:paraId="2456D757" w14:textId="03977658" w:rsidR="00A535C1" w:rsidRPr="00322D7B" w:rsidRDefault="00A535C1" w:rsidP="00322D7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</w:pPr>
                      <w:r w:rsidRPr="00322D7B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8FDAB4" w14:textId="7E69C016" w:rsidR="00A535C1" w:rsidRPr="00154F0B" w:rsidRDefault="00DD7853" w:rsidP="002326D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Tracey Rembert of </w:t>
                      </w:r>
                      <w:r w:rsidR="00A535C1" w:rsidRPr="00154F0B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Ceres</w:t>
                      </w:r>
                      <w:r w:rsidR="00A535C1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 will identify a few key areas where </w:t>
                      </w:r>
                      <w:r w:rsidR="00A535C1" w:rsidRPr="00154F0B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feedback will help </w:t>
                      </w:r>
                      <w:r w:rsidR="00A535C1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advance global ESG disclosure quality, describe the </w:t>
                      </w:r>
                      <w:r w:rsidR="00A535C1" w:rsidRPr="00154F0B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summary report to </w:t>
                      </w:r>
                      <w:r w:rsidR="00A535C1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be issued </w:t>
                      </w:r>
                      <w: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to t</w:t>
                      </w:r>
                      <w:r w:rsidR="00A535C1" w:rsidRPr="00154F0B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he WFE</w:t>
                      </w:r>
                      <w:r w:rsidR="00A535C1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 based on the consultation responses</w:t>
                      </w:r>
                      <w:r w:rsidR="00A535C1" w:rsidRPr="00154F0B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, and </w:t>
                      </w:r>
                      <w:r w:rsidR="00A535C1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a</w:t>
                      </w:r>
                      <w:r w:rsidR="00A535C1" w:rsidRPr="00154F0B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ns</w:t>
                      </w:r>
                      <w:r w:rsidR="00A535C1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wer questions</w:t>
                      </w:r>
                      <w: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 related to the comment period</w:t>
                      </w:r>
                      <w:r w:rsidR="00A535C1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.</w:t>
                      </w:r>
                      <w:r w:rsidR="00A535C1" w:rsidRPr="00154F0B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C60AC6" w14:textId="77777777" w:rsidR="00A535C1" w:rsidRDefault="00A535C1" w:rsidP="002326D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</w:pPr>
                    </w:p>
                    <w:p w14:paraId="09979775" w14:textId="568A7CE5" w:rsidR="00A535C1" w:rsidRPr="00322D7B" w:rsidRDefault="00A535C1" w:rsidP="00322D7B">
                      <w:pPr>
                        <w:jc w:val="both"/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In order to make the most of the hour, please </w:t>
                      </w:r>
                      <w:r w:rsidR="00DD7853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review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 the WFE’s Gu</w:t>
                      </w:r>
                      <w:r w:rsidR="00DD7853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idance and Ceres’ comment form--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both of which are available in the red box to the right of this </w:t>
                      </w:r>
                      <w:hyperlink r:id="rId14" w:history="1">
                        <w:r w:rsidRPr="009413C7">
                          <w:rPr>
                            <w:rStyle w:val="Hyperlink"/>
                            <w:rFonts w:ascii="Helvetica" w:hAnsi="Helvetica"/>
                            <w:color w:val="008000"/>
                            <w:sz w:val="20"/>
                            <w:szCs w:val="20"/>
                          </w:rPr>
                          <w:t>pa</w:t>
                        </w:r>
                        <w:r w:rsidRPr="009413C7">
                          <w:rPr>
                            <w:rStyle w:val="Hyperlink"/>
                            <w:rFonts w:ascii="Helvetica" w:hAnsi="Helvetica"/>
                            <w:color w:val="008000"/>
                            <w:sz w:val="20"/>
                            <w:szCs w:val="20"/>
                          </w:rPr>
                          <w:t>g</w:t>
                        </w:r>
                        <w:r w:rsidRPr="009413C7">
                          <w:rPr>
                            <w:rStyle w:val="Hyperlink"/>
                            <w:rFonts w:ascii="Helvetica" w:hAnsi="Helvetica"/>
                            <w:color w:val="008000"/>
                            <w:sz w:val="20"/>
                            <w:szCs w:val="20"/>
                          </w:rPr>
                          <w:t>e</w:t>
                        </w:r>
                      </w:hyperlink>
                      <w:r w:rsidR="00DD7853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--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prior to attending the webinar. We look forward to your </w:t>
                      </w:r>
                      <w:r w:rsidR="00DD7853"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>questions and</w:t>
                      </w:r>
                      <w:r>
                        <w:rPr>
                          <w:rFonts w:ascii="Helvetica" w:hAnsi="Helvetica"/>
                          <w:bCs/>
                          <w:sz w:val="20"/>
                          <w:szCs w:val="20"/>
                        </w:rPr>
                        <w:t xml:space="preserve"> participation.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876B5">
        <w:rPr>
          <w:noProof/>
        </w:rPr>
        <w:drawing>
          <wp:anchor distT="0" distB="0" distL="114300" distR="114300" simplePos="0" relativeHeight="251685888" behindDoc="0" locked="0" layoutInCell="1" allowOverlap="1" wp14:anchorId="239325C7" wp14:editId="0ABD4AFD">
            <wp:simplePos x="0" y="0"/>
            <wp:positionH relativeFrom="page">
              <wp:posOffset>2389505</wp:posOffset>
            </wp:positionH>
            <wp:positionV relativeFrom="page">
              <wp:posOffset>1185545</wp:posOffset>
            </wp:positionV>
            <wp:extent cx="3105150" cy="784225"/>
            <wp:effectExtent l="0" t="0" r="0" b="3175"/>
            <wp:wrapThrough wrapText="bothSides">
              <wp:wrapPolygon edited="0">
                <wp:start x="0" y="0"/>
                <wp:lineTo x="0" y="20988"/>
                <wp:lineTo x="21379" y="20988"/>
                <wp:lineTo x="21379" y="0"/>
                <wp:lineTo x="0" y="0"/>
              </wp:wrapPolygon>
            </wp:wrapThrough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6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54554" wp14:editId="1CC04A51">
                <wp:simplePos x="0" y="0"/>
                <wp:positionH relativeFrom="page">
                  <wp:posOffset>452755</wp:posOffset>
                </wp:positionH>
                <wp:positionV relativeFrom="page">
                  <wp:posOffset>457200</wp:posOffset>
                </wp:positionV>
                <wp:extent cx="6858000" cy="558800"/>
                <wp:effectExtent l="0" t="0" r="0" b="0"/>
                <wp:wrapThrough wrapText="bothSides">
                  <wp:wrapPolygon edited="0">
                    <wp:start x="0" y="0"/>
                    <wp:lineTo x="0" y="20618"/>
                    <wp:lineTo x="21520" y="20618"/>
                    <wp:lineTo x="2152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588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6CA7A" w14:textId="0DF3FFB1" w:rsidR="00A535C1" w:rsidRPr="00CF7764" w:rsidRDefault="00A535C1" w:rsidP="007D515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Webinar </w:t>
                            </w:r>
                            <w:r w:rsidRPr="00CF7764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on the World Federation of Exchanges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’</w:t>
                            </w:r>
                          </w:p>
                          <w:p w14:paraId="2A0694FE" w14:textId="44045962" w:rsidR="00A535C1" w:rsidRPr="00CF7764" w:rsidRDefault="00A535C1" w:rsidP="007D5159">
                            <w:pPr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F7764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ESG Reporting Guidance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35.65pt;margin-top:36pt;width:540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" fillcolor="#fa8716 [3206]" stroked="f" strokeweight="2pt">
                <v:textbox>
                  <w:txbxContent>
                    <w:p w14:paraId="23B6CA7A" w14:textId="0DF3FFB1" w:rsidR="00A535C1" w:rsidRPr="00CF7764" w:rsidRDefault="00A535C1" w:rsidP="007D5159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Webinar </w:t>
                      </w:r>
                      <w:r w:rsidRPr="00CF7764"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on the World Federation of Exchanges</w:t>
                      </w:r>
                      <w:r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’</w:t>
                      </w:r>
                    </w:p>
                    <w:p w14:paraId="2A0694FE" w14:textId="44045962" w:rsidR="00A535C1" w:rsidRPr="00CF7764" w:rsidRDefault="00A535C1" w:rsidP="007D5159">
                      <w:pPr>
                        <w:jc w:val="center"/>
                        <w:rPr>
                          <w:rFonts w:ascii="Helvetica" w:hAnsi="Helvetica"/>
                          <w:color w:val="FFFFFF" w:themeColor="background1"/>
                          <w:sz w:val="30"/>
                          <w:szCs w:val="30"/>
                        </w:rPr>
                      </w:pPr>
                      <w:r w:rsidRPr="00CF7764"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ESG Reporting Guidance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04D4"/>
    <w:multiLevelType w:val="hybridMultilevel"/>
    <w:tmpl w:val="BA34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E2C87"/>
    <w:multiLevelType w:val="hybridMultilevel"/>
    <w:tmpl w:val="E54A0D7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revisionView w:markup="0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2F5904"/>
    <w:rsid w:val="0002615A"/>
    <w:rsid w:val="00031F09"/>
    <w:rsid w:val="00080C7B"/>
    <w:rsid w:val="000A0E60"/>
    <w:rsid w:val="002326D7"/>
    <w:rsid w:val="00285DCD"/>
    <w:rsid w:val="002F5904"/>
    <w:rsid w:val="002F6ED3"/>
    <w:rsid w:val="00322D7B"/>
    <w:rsid w:val="0038421C"/>
    <w:rsid w:val="003B3441"/>
    <w:rsid w:val="00462267"/>
    <w:rsid w:val="004C73E3"/>
    <w:rsid w:val="004D7FB5"/>
    <w:rsid w:val="00542FAF"/>
    <w:rsid w:val="005D6457"/>
    <w:rsid w:val="0065585D"/>
    <w:rsid w:val="006A111E"/>
    <w:rsid w:val="00717C6F"/>
    <w:rsid w:val="007876B5"/>
    <w:rsid w:val="007C2D88"/>
    <w:rsid w:val="007D5159"/>
    <w:rsid w:val="007F6ECB"/>
    <w:rsid w:val="00816385"/>
    <w:rsid w:val="0084083E"/>
    <w:rsid w:val="009413C7"/>
    <w:rsid w:val="009570B6"/>
    <w:rsid w:val="009635E2"/>
    <w:rsid w:val="00983FF6"/>
    <w:rsid w:val="00A32249"/>
    <w:rsid w:val="00A535C1"/>
    <w:rsid w:val="00AC0420"/>
    <w:rsid w:val="00BA3340"/>
    <w:rsid w:val="00BD34F5"/>
    <w:rsid w:val="00C269DA"/>
    <w:rsid w:val="00C440BE"/>
    <w:rsid w:val="00C710F0"/>
    <w:rsid w:val="00C77676"/>
    <w:rsid w:val="00CF7764"/>
    <w:rsid w:val="00D278C6"/>
    <w:rsid w:val="00D34EA4"/>
    <w:rsid w:val="00DD5421"/>
    <w:rsid w:val="00DD7853"/>
    <w:rsid w:val="00DE5458"/>
    <w:rsid w:val="00E2341A"/>
    <w:rsid w:val="00E9776E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3BA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04"/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FBC01E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FBC01E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FBC01E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FBC01E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unhideWhenUsed/>
    <w:qFormat/>
    <w:rsid w:val="00CF7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6D7"/>
    <w:rPr>
      <w:color w:val="D2D2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6D7"/>
    <w:rPr>
      <w:color w:val="D0B9F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04"/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FBC01E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FBC01E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FBC01E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FBC01E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unhideWhenUsed/>
    <w:qFormat/>
    <w:rsid w:val="00CF7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6D7"/>
    <w:rPr>
      <w:color w:val="D2D2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6D7"/>
    <w:rPr>
      <w:color w:val="D0B9F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c.readytalk.com/r/f4mdb5hxwav6&amp;eom" TargetMode="External"/><Relationship Id="rId12" Type="http://schemas.openxmlformats.org/officeDocument/2006/relationships/hyperlink" Target="https://cc.readytalk.com/r/f4mdb5hxwav6&amp;eom" TargetMode="External"/><Relationship Id="rId13" Type="http://schemas.openxmlformats.org/officeDocument/2006/relationships/hyperlink" Target="http://www.ceres.org/investor-network/incr/sustainable-stock-exchanges" TargetMode="External"/><Relationship Id="rId14" Type="http://schemas.openxmlformats.org/officeDocument/2006/relationships/hyperlink" Target="http://www.ceres.org/investor-network/incr/sustainable-stock-exchanges" TargetMode="External"/><Relationship Id="rId15" Type="http://schemas.openxmlformats.org/officeDocument/2006/relationships/image" Target="media/image2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embert@ceres.org" TargetMode="External"/><Relationship Id="rId7" Type="http://schemas.openxmlformats.org/officeDocument/2006/relationships/hyperlink" Target="mailto:schwarz@ceres.org" TargetMode="External"/><Relationship Id="rId8" Type="http://schemas.openxmlformats.org/officeDocument/2006/relationships/hyperlink" Target="mailto:rembert@ceres.org" TargetMode="External"/><Relationship Id="rId9" Type="http://schemas.openxmlformats.org/officeDocument/2006/relationships/hyperlink" Target="mailto:schwarz@ceres.org" TargetMode="External"/><Relationship Id="rId10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Flyer.dotx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Schwarz</dc:creator>
  <cp:keywords/>
  <dc:description/>
  <cp:lastModifiedBy>Tracey Rembert</cp:lastModifiedBy>
  <cp:revision>2</cp:revision>
  <dcterms:created xsi:type="dcterms:W3CDTF">2016-03-09T21:41:00Z</dcterms:created>
  <dcterms:modified xsi:type="dcterms:W3CDTF">2016-03-09T21:41:00Z</dcterms:modified>
  <cp:category/>
</cp:coreProperties>
</file>